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0CB1D" w14:textId="32EA9BC4" w:rsidR="007B55A7" w:rsidRPr="0070787F" w:rsidRDefault="007B55A7" w:rsidP="00D243A2">
      <w:pPr>
        <w:pStyle w:val="SCT"/>
      </w:pPr>
      <w:r>
        <w:t xml:space="preserve">SECTION </w:t>
      </w:r>
      <w:r>
        <w:rPr>
          <w:rStyle w:val="NUM"/>
        </w:rPr>
        <w:t>330130.86</w:t>
      </w:r>
      <w:r>
        <w:t xml:space="preserve"> - MANHOLE RIM ADJUSTMENT</w:t>
      </w:r>
    </w:p>
    <w:p w14:paraId="24DCCC5D" w14:textId="77777777" w:rsidR="007B55A7" w:rsidRDefault="007B55A7">
      <w:pPr>
        <w:pStyle w:val="PRT"/>
      </w:pPr>
      <w:r>
        <w:t>GENERAL</w:t>
      </w:r>
    </w:p>
    <w:p w14:paraId="4598C16F" w14:textId="77777777" w:rsidR="007B55A7" w:rsidRDefault="007B55A7">
      <w:pPr>
        <w:pStyle w:val="ART"/>
      </w:pPr>
      <w:r>
        <w:t>SUMMARY</w:t>
      </w:r>
    </w:p>
    <w:p w14:paraId="10419B44" w14:textId="77777777" w:rsidR="007B55A7" w:rsidRDefault="007B55A7">
      <w:pPr>
        <w:pStyle w:val="PR1"/>
      </w:pPr>
      <w:r>
        <w:t>Section Includes:</w:t>
      </w:r>
    </w:p>
    <w:p w14:paraId="3FEE2E4F" w14:textId="77777777" w:rsidR="007B55A7" w:rsidRDefault="007B55A7">
      <w:pPr>
        <w:pStyle w:val="PR2"/>
        <w:contextualSpacing w:val="0"/>
      </w:pPr>
      <w:r>
        <w:t>Raising manhole frames and covers.</w:t>
      </w:r>
    </w:p>
    <w:p w14:paraId="7914CF18" w14:textId="6D66705D" w:rsidR="007B55A7" w:rsidRDefault="007B55A7" w:rsidP="007B55A7">
      <w:pPr>
        <w:pStyle w:val="PR2"/>
        <w:spacing w:before="0"/>
        <w:contextualSpacing w:val="0"/>
      </w:pPr>
      <w:r>
        <w:t xml:space="preserve">Replacing manhole frames and covers. </w:t>
      </w:r>
    </w:p>
    <w:p w14:paraId="2E59CE52" w14:textId="77777777" w:rsidR="007B55A7" w:rsidRDefault="007B55A7" w:rsidP="00F14051">
      <w:pPr>
        <w:pStyle w:val="PR1"/>
      </w:pPr>
      <w:r>
        <w:t>Related Requirements:</w:t>
      </w:r>
    </w:p>
    <w:p w14:paraId="464CEA58" w14:textId="77777777" w:rsidR="007B55A7" w:rsidRDefault="007B55A7" w:rsidP="00D243A2">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0FC7018C" w14:textId="77777777" w:rsidR="007B55A7" w:rsidRDefault="007B55A7">
      <w:pPr>
        <w:pStyle w:val="PR2"/>
        <w:contextualSpacing w:val="0"/>
      </w:pPr>
      <w:r>
        <w:t>Section 034100 - Precast Structural Concrete: Execution requirements for precast and prestressed concrete members as specified in this Section.</w:t>
      </w:r>
    </w:p>
    <w:p w14:paraId="60930796" w14:textId="77777777" w:rsidR="007B55A7" w:rsidRDefault="007B55A7" w:rsidP="007B55A7">
      <w:pPr>
        <w:pStyle w:val="PR2"/>
        <w:spacing w:before="0"/>
        <w:contextualSpacing w:val="0"/>
      </w:pPr>
      <w:r>
        <w:t>[</w:t>
      </w:r>
      <w:r w:rsidRPr="0075255E">
        <w:rPr>
          <w:b/>
        </w:rPr>
        <w:t>Section 042000 - Unit Masonry: Clay brick riser rings.</w:t>
      </w:r>
      <w:r>
        <w:t>]</w:t>
      </w:r>
    </w:p>
    <w:p w14:paraId="7C461975" w14:textId="77777777" w:rsidR="007B55A7" w:rsidRDefault="007B55A7" w:rsidP="007B55A7">
      <w:pPr>
        <w:pStyle w:val="PR2"/>
        <w:spacing w:before="0"/>
        <w:contextualSpacing w:val="0"/>
      </w:pPr>
      <w:r>
        <w:t>Section 330130.61 - Packer Injection Grouting: Execution requirements for grout sealing as required by this Section.</w:t>
      </w:r>
    </w:p>
    <w:p w14:paraId="284B8A4D" w14:textId="77777777" w:rsidR="007B55A7" w:rsidRDefault="007B55A7" w:rsidP="007B55A7">
      <w:pPr>
        <w:pStyle w:val="PR2"/>
        <w:spacing w:before="0"/>
        <w:contextualSpacing w:val="0"/>
      </w:pPr>
      <w:r>
        <w:t>Section 333100 - Sanitary Sewerage Piping: Execution requirements for sewerage piping as required by this Section.</w:t>
      </w:r>
    </w:p>
    <w:p w14:paraId="095C083B" w14:textId="12764B4B" w:rsidR="007B55A7" w:rsidRPr="00806B26" w:rsidRDefault="007B55A7" w:rsidP="00806B26">
      <w:pPr>
        <w:pStyle w:val="ART"/>
      </w:pPr>
      <w:r>
        <w:t>REFERENCE STANDARDS</w:t>
      </w:r>
    </w:p>
    <w:p w14:paraId="6A6686C2" w14:textId="5F332455" w:rsidR="007B55A7" w:rsidRDefault="007B55A7" w:rsidP="00D243A2">
      <w:pPr>
        <w:pStyle w:val="SpecifierNote"/>
      </w:pPr>
      <w:r w:rsidRPr="00D243A2">
        <w:t>List reference standards included within text of this section, with designations, numbers, and complete document titles.</w:t>
      </w:r>
    </w:p>
    <w:p w14:paraId="23A6968F" w14:textId="77777777" w:rsidR="007B55A7" w:rsidRDefault="007B55A7">
      <w:pPr>
        <w:pStyle w:val="PR1"/>
      </w:pPr>
      <w:r>
        <w:t>ASTM International:</w:t>
      </w:r>
    </w:p>
    <w:p w14:paraId="48EABCA6" w14:textId="3163E9D6" w:rsidR="007B55A7" w:rsidRDefault="007B55A7">
      <w:pPr>
        <w:pStyle w:val="PR2"/>
      </w:pPr>
      <w:r w:rsidRPr="0096263B">
        <w:t>ASTM A4 - Standard Specification for Gray Iron Castings.</w:t>
      </w:r>
    </w:p>
    <w:p w14:paraId="7053F7D4" w14:textId="610E8245" w:rsidR="007B55A7" w:rsidRDefault="007B55A7">
      <w:pPr>
        <w:pStyle w:val="PR2"/>
      </w:pPr>
      <w:r>
        <w:t xml:space="preserve">ASTM A1064 - </w:t>
      </w:r>
      <w:r w:rsidRPr="00994E88">
        <w:t>Standard Specification for Carbon-Steel Wire and Welded Wire Reinforcement, Plain and Deformed, for Concrete</w:t>
      </w:r>
    </w:p>
    <w:p w14:paraId="605783D0" w14:textId="77777777" w:rsidR="007B55A7" w:rsidRDefault="007B55A7">
      <w:pPr>
        <w:pStyle w:val="PR2"/>
      </w:pPr>
      <w:r w:rsidRPr="00994E88">
        <w:t>ASTM B766</w:t>
      </w:r>
      <w:r>
        <w:t xml:space="preserve"> – Standard Specification for Electrodeposited Coatings of Cadmium</w:t>
      </w:r>
    </w:p>
    <w:p w14:paraId="03304B78" w14:textId="0BBA9C38" w:rsidR="007B55A7" w:rsidRDefault="007B55A7" w:rsidP="007B55A7">
      <w:pPr>
        <w:pStyle w:val="PR2"/>
        <w:spacing w:before="0"/>
      </w:pPr>
      <w:r>
        <w:rPr>
          <w:rStyle w:val="IP"/>
        </w:rPr>
        <w:t>ASTM C478 - Standard Specification for Circular Precast Reinforced Concrete Manhole Sections.</w:t>
      </w:r>
    </w:p>
    <w:p w14:paraId="20CF3656" w14:textId="53481592" w:rsidR="007B55A7" w:rsidRDefault="007B55A7" w:rsidP="007B55A7">
      <w:pPr>
        <w:pStyle w:val="PR2"/>
        <w:spacing w:before="0"/>
      </w:pPr>
      <w:r>
        <w:rPr>
          <w:rStyle w:val="IP"/>
        </w:rPr>
        <w:t>ASTM C877 - Standard Specification for External Sealing Bands for Concrete Pipe, Manholes, and Precast Box Sections.</w:t>
      </w:r>
    </w:p>
    <w:p w14:paraId="4963B034" w14:textId="677E3602" w:rsidR="007B55A7" w:rsidRDefault="007B55A7" w:rsidP="007B55A7">
      <w:pPr>
        <w:pStyle w:val="PR2"/>
        <w:spacing w:before="0"/>
      </w:pPr>
      <w:r>
        <w:rPr>
          <w:rStyle w:val="IP"/>
        </w:rPr>
        <w:t>ASTM C990 - Standard Specification for Joints for Concrete Pipe, Manholes, and Precast Box Sections Using Preformed Flexible Joint Sealants.</w:t>
      </w:r>
    </w:p>
    <w:p w14:paraId="0904E951" w14:textId="77777777" w:rsidR="007B55A7" w:rsidRDefault="007B55A7" w:rsidP="007B55A7">
      <w:pPr>
        <w:pStyle w:val="PR2"/>
        <w:spacing w:before="0"/>
        <w:contextualSpacing w:val="0"/>
      </w:pPr>
      <w:r>
        <w:t>ASTM F593 - Standard Specification for Stainless Steel Bolts, Hex Cap Screws, and Studs.</w:t>
      </w:r>
    </w:p>
    <w:p w14:paraId="1C778A4A" w14:textId="77777777" w:rsidR="007B55A7" w:rsidRDefault="007B55A7" w:rsidP="007B55A7">
      <w:pPr>
        <w:pStyle w:val="PR2"/>
        <w:spacing w:before="0"/>
        <w:contextualSpacing w:val="0"/>
      </w:pPr>
      <w:r>
        <w:t>ASTM F1554 - Standard Specification for Anchor Bolts, Steel, 36, 55, and 105-ksi Yield Strength.</w:t>
      </w:r>
    </w:p>
    <w:p w14:paraId="4D3B6898" w14:textId="45E48100" w:rsidR="007B55A7" w:rsidRDefault="007B55A7">
      <w:pPr>
        <w:pStyle w:val="ART"/>
      </w:pPr>
      <w:r>
        <w:t xml:space="preserve"> SUBMITTALS</w:t>
      </w:r>
    </w:p>
    <w:p w14:paraId="7B286A2E" w14:textId="77777777" w:rsidR="007B55A7" w:rsidRPr="00FB1C59" w:rsidRDefault="007B55A7" w:rsidP="00D243A2">
      <w:pPr>
        <w:pStyle w:val="SpecifierNote"/>
      </w:pPr>
      <w:r w:rsidRPr="00D243A2">
        <w:t>Only request submittals needed to verify compliance with project requirements.</w:t>
      </w:r>
    </w:p>
    <w:p w14:paraId="587E542E" w14:textId="77777777" w:rsidR="007B55A7" w:rsidRDefault="007B55A7" w:rsidP="0070787F">
      <w:pPr>
        <w:pStyle w:val="PR1"/>
      </w:pPr>
      <w:r w:rsidRPr="00B243A9">
        <w:t>Submittals in this section are subject to the re-evaluation fee identified in Article 4 of the General Conditions.</w:t>
      </w:r>
    </w:p>
    <w:p w14:paraId="01705117" w14:textId="77777777" w:rsidR="007B55A7" w:rsidRDefault="007B55A7" w:rsidP="0070787F">
      <w:pPr>
        <w:pStyle w:val="PR1"/>
      </w:pPr>
      <w:r>
        <w:t>Manufacturer’s installation instructions shall be provided along with product data.</w:t>
      </w:r>
    </w:p>
    <w:p w14:paraId="4CE393CE" w14:textId="77777777" w:rsidR="007B55A7" w:rsidRDefault="007B55A7" w:rsidP="0070787F">
      <w:pPr>
        <w:pStyle w:val="PR1"/>
      </w:pPr>
      <w:r>
        <w:lastRenderedPageBreak/>
        <w:t>Submittals shall be provided in the order in which they are specified and tabbed (for combination submittals).</w:t>
      </w:r>
    </w:p>
    <w:p w14:paraId="07688329" w14:textId="77777777" w:rsidR="007B55A7" w:rsidRDefault="007B55A7">
      <w:pPr>
        <w:pStyle w:val="PR1"/>
      </w:pPr>
      <w:r>
        <w:t>Product Data: Submit manufacturer information for manhole covers and riser rings construction, features, configuration, dimensions [</w:t>
      </w:r>
      <w:r w:rsidRPr="008740B5">
        <w:rPr>
          <w:b/>
        </w:rPr>
        <w:t>and</w:t>
      </w:r>
      <w:r>
        <w:t>] &lt;</w:t>
      </w:r>
      <w:r w:rsidRPr="0075255E">
        <w:rPr>
          <w:b/>
        </w:rPr>
        <w:t>________</w:t>
      </w:r>
      <w:r>
        <w:t>&gt;.</w:t>
      </w:r>
    </w:p>
    <w:p w14:paraId="4F7C609C" w14:textId="77777777" w:rsidR="007B55A7" w:rsidRDefault="007B55A7">
      <w:pPr>
        <w:pStyle w:val="PR1"/>
      </w:pPr>
      <w:r>
        <w:t>Manufacturer's Certificate: Certify that products meet or exceed specified requirements.</w:t>
      </w:r>
    </w:p>
    <w:p w14:paraId="71931AA8" w14:textId="77777777" w:rsidR="007B55A7" w:rsidRPr="00FB1C59" w:rsidRDefault="007B55A7" w:rsidP="00D243A2">
      <w:pPr>
        <w:pStyle w:val="SpecifierNote"/>
      </w:pPr>
      <w:r w:rsidRPr="00D243A2">
        <w:t>Include separate paragraphs for additional certifications.</w:t>
      </w:r>
    </w:p>
    <w:p w14:paraId="3372A501" w14:textId="77777777" w:rsidR="007B55A7" w:rsidRDefault="007B55A7">
      <w:pPr>
        <w:pStyle w:val="PR1"/>
      </w:pPr>
      <w:r>
        <w:t>Manufacturer Instructions: Submit detailed instructions on installation requirements, including storage and handling procedures.</w:t>
      </w:r>
    </w:p>
    <w:p w14:paraId="6C002460" w14:textId="77777777" w:rsidR="007B55A7" w:rsidRDefault="007B55A7">
      <w:pPr>
        <w:pStyle w:val="ART"/>
      </w:pPr>
      <w:r>
        <w:t>CLOSEOUT SUBMITTALS</w:t>
      </w:r>
    </w:p>
    <w:p w14:paraId="42DBC043" w14:textId="77777777" w:rsidR="007B55A7" w:rsidRDefault="007B55A7" w:rsidP="003F3CF7">
      <w:pPr>
        <w:pStyle w:val="PR1"/>
      </w:pPr>
      <w:r>
        <w:t>Project Record Documents: Record actual grade-adjusted elevation of manholes.</w:t>
      </w:r>
    </w:p>
    <w:p w14:paraId="7D3E63CA" w14:textId="77777777" w:rsidR="007B55A7" w:rsidRDefault="007B55A7">
      <w:pPr>
        <w:pStyle w:val="ART"/>
      </w:pPr>
      <w:r>
        <w:t>DELIVERY, STORAGE, AND HANDLING</w:t>
      </w:r>
    </w:p>
    <w:p w14:paraId="28AD7259" w14:textId="77777777" w:rsidR="007B55A7" w:rsidRDefault="007B55A7">
      <w:pPr>
        <w:pStyle w:val="PR1"/>
      </w:pPr>
      <w:r>
        <w:t>Inspection: Accept materials on Site in manufacturer's original packaging and inspect for damage.</w:t>
      </w:r>
    </w:p>
    <w:p w14:paraId="210879BB" w14:textId="77777777" w:rsidR="007B55A7" w:rsidRDefault="007B55A7">
      <w:pPr>
        <w:pStyle w:val="PR1"/>
      </w:pPr>
      <w:r>
        <w:t>Store materials according to manufacturer instructions.</w:t>
      </w:r>
    </w:p>
    <w:p w14:paraId="5D32B3A7" w14:textId="77777777" w:rsidR="007B55A7" w:rsidRDefault="007B55A7">
      <w:pPr>
        <w:pStyle w:val="PR1"/>
      </w:pPr>
      <w:r>
        <w:t>Protection:</w:t>
      </w:r>
    </w:p>
    <w:p w14:paraId="7D22FAC3" w14:textId="77777777" w:rsidR="007B55A7" w:rsidRDefault="007B55A7">
      <w:pPr>
        <w:pStyle w:val="PR2"/>
        <w:contextualSpacing w:val="0"/>
      </w:pPr>
      <w:r>
        <w:t>Protect materials from moisture and dust by storing in clean, dry location remote from construction operations areas.</w:t>
      </w:r>
    </w:p>
    <w:p w14:paraId="41FAF6A9" w14:textId="77777777" w:rsidR="007B55A7" w:rsidRDefault="007B55A7" w:rsidP="007B55A7">
      <w:pPr>
        <w:pStyle w:val="PR2"/>
        <w:spacing w:before="0"/>
        <w:contextualSpacing w:val="0"/>
      </w:pPr>
      <w:r>
        <w:t>Provide additional protection according to manufacturer instructions.</w:t>
      </w:r>
    </w:p>
    <w:p w14:paraId="53D599EB" w14:textId="77777777" w:rsidR="007B55A7" w:rsidRDefault="007B55A7">
      <w:pPr>
        <w:pStyle w:val="ART"/>
      </w:pPr>
      <w:r>
        <w:t>EXISTING CONDITIONS</w:t>
      </w:r>
    </w:p>
    <w:p w14:paraId="447EB51F" w14:textId="77777777" w:rsidR="007B55A7" w:rsidRDefault="007B55A7">
      <w:pPr>
        <w:pStyle w:val="PR1"/>
      </w:pPr>
      <w:r>
        <w:t>Field Measurements:</w:t>
      </w:r>
    </w:p>
    <w:p w14:paraId="4BF73D8E" w14:textId="77777777" w:rsidR="007B55A7" w:rsidRDefault="007B55A7">
      <w:pPr>
        <w:pStyle w:val="PR2"/>
        <w:contextualSpacing w:val="0"/>
      </w:pPr>
      <w:r>
        <w:t>Verify field measurements prior to fabrication.</w:t>
      </w:r>
    </w:p>
    <w:p w14:paraId="67013B83" w14:textId="77777777" w:rsidR="007B55A7" w:rsidRDefault="007B55A7" w:rsidP="007B55A7">
      <w:pPr>
        <w:pStyle w:val="PR2"/>
        <w:spacing w:before="0"/>
        <w:contextualSpacing w:val="0"/>
      </w:pPr>
      <w:r>
        <w:t>Indicate field measurements on Shop Drawings.</w:t>
      </w:r>
    </w:p>
    <w:p w14:paraId="35550302" w14:textId="77777777" w:rsidR="007B55A7" w:rsidRDefault="007B55A7">
      <w:pPr>
        <w:pStyle w:val="PRT"/>
      </w:pPr>
      <w:r>
        <w:t>PRODUCTS</w:t>
      </w:r>
    </w:p>
    <w:p w14:paraId="6FE1D42F" w14:textId="77777777" w:rsidR="007B55A7" w:rsidRDefault="007B55A7">
      <w:pPr>
        <w:pStyle w:val="ART"/>
      </w:pPr>
      <w:r>
        <w:t>RISER RINGS</w:t>
      </w:r>
    </w:p>
    <w:p w14:paraId="4595F6DA" w14:textId="77777777" w:rsidR="007B55A7" w:rsidRPr="00806B26" w:rsidRDefault="00370E0C">
      <w:pPr>
        <w:pStyle w:val="PR1"/>
      </w:pPr>
      <w:hyperlink r:id="rId11" w:history="1">
        <w:r w:rsidR="007B55A7" w:rsidRPr="00D243A2">
          <w:rPr>
            <w:rStyle w:val="SAhyperlink"/>
            <w:color w:val="auto"/>
            <w:u w:val="none"/>
          </w:rPr>
          <w:t>Manufacturers</w:t>
        </w:r>
      </w:hyperlink>
      <w:r w:rsidR="007B55A7" w:rsidRPr="00806B26">
        <w:t>:</w:t>
      </w:r>
    </w:p>
    <w:p w14:paraId="252BD2B4" w14:textId="06BF51E6" w:rsidR="007B55A7" w:rsidRPr="00806B26" w:rsidRDefault="007B55A7">
      <w:pPr>
        <w:pStyle w:val="PR2"/>
        <w:contextualSpacing w:val="0"/>
      </w:pPr>
      <w:r w:rsidRPr="00806B26">
        <w:t>Grade Extension Rings:  The Fort Miller Co., Inc., P.O. Box 98, Schuylerville, NY  12871, (518) 695-5000.</w:t>
      </w:r>
    </w:p>
    <w:p w14:paraId="1E2C573E" w14:textId="0685A9EB" w:rsidR="007B55A7" w:rsidRPr="00E24EDE" w:rsidRDefault="007B55A7" w:rsidP="00D243A2">
      <w:pPr>
        <w:pStyle w:val="PR2"/>
        <w:spacing w:before="0"/>
        <w:contextualSpacing w:val="0"/>
      </w:pPr>
      <w:r>
        <w:t>Approved equivalent</w:t>
      </w:r>
      <w:r w:rsidRPr="00E24EDE">
        <w:t>.</w:t>
      </w:r>
    </w:p>
    <w:p w14:paraId="261B9C13" w14:textId="77777777" w:rsidR="007B55A7" w:rsidRDefault="007B55A7" w:rsidP="006F277A">
      <w:pPr>
        <w:pStyle w:val="PR1"/>
      </w:pPr>
      <w:r>
        <w:t>Grade Extension Rings:</w:t>
      </w:r>
    </w:p>
    <w:p w14:paraId="0C3F415F" w14:textId="77777777" w:rsidR="007B55A7" w:rsidRDefault="007B55A7" w:rsidP="00D243A2">
      <w:pPr>
        <w:pStyle w:val="PR2"/>
        <w:contextualSpacing w:val="0"/>
      </w:pPr>
      <w:r>
        <w:t>Designed for AASHTO H-20 loading, 30 percent impact.</w:t>
      </w:r>
    </w:p>
    <w:p w14:paraId="71BBA363" w14:textId="77777777" w:rsidR="007B55A7" w:rsidRDefault="007B55A7" w:rsidP="007B55A7">
      <w:pPr>
        <w:pStyle w:val="PR2"/>
        <w:spacing w:before="0"/>
        <w:contextualSpacing w:val="0"/>
      </w:pPr>
      <w:r>
        <w:t>Dimensions:</w:t>
      </w:r>
    </w:p>
    <w:p w14:paraId="467810EA" w14:textId="50D45BE9" w:rsidR="007B55A7" w:rsidRDefault="007B55A7" w:rsidP="00D243A2">
      <w:pPr>
        <w:pStyle w:val="PR3"/>
        <w:contextualSpacing w:val="0"/>
      </w:pPr>
      <w:r>
        <w:t>Minimum 6-inch-wide radial bearing.</w:t>
      </w:r>
    </w:p>
    <w:p w14:paraId="072DB5E8" w14:textId="77777777" w:rsidR="007B55A7" w:rsidRDefault="007B55A7" w:rsidP="00D243A2">
      <w:pPr>
        <w:pStyle w:val="PR3"/>
        <w:spacing w:before="0"/>
        <w:contextualSpacing w:val="0"/>
      </w:pPr>
      <w:r>
        <w:t>Thickness (height) as required.</w:t>
      </w:r>
    </w:p>
    <w:p w14:paraId="7FA83109" w14:textId="77777777" w:rsidR="007B55A7" w:rsidRDefault="007B55A7" w:rsidP="00D243A2">
      <w:pPr>
        <w:pStyle w:val="PR2"/>
        <w:contextualSpacing w:val="0"/>
      </w:pPr>
      <w:r>
        <w:t>Concrete:  4000 psi.</w:t>
      </w:r>
      <w:r>
        <w:tab/>
      </w:r>
      <w:r>
        <w:tab/>
      </w:r>
    </w:p>
    <w:p w14:paraId="726E2977" w14:textId="7DD6D4AE" w:rsidR="007B55A7" w:rsidRDefault="007B55A7" w:rsidP="007B55A7">
      <w:pPr>
        <w:pStyle w:val="PR2"/>
        <w:spacing w:before="0"/>
        <w:contextualSpacing w:val="0"/>
      </w:pPr>
      <w:r>
        <w:t>Reinforcement:  ASTM A615, Grade 60 or ASTM A1064, Grade 65.</w:t>
      </w:r>
    </w:p>
    <w:p w14:paraId="0739BC89" w14:textId="74970001" w:rsidR="007B55A7" w:rsidRDefault="007B55A7" w:rsidP="00D243A2">
      <w:pPr>
        <w:pStyle w:val="PR2"/>
        <w:spacing w:before="0"/>
        <w:contextualSpacing w:val="0"/>
      </w:pPr>
      <w:r>
        <w:t>Entrained Air:  5.0 to 9.0 percent.</w:t>
      </w:r>
    </w:p>
    <w:p w14:paraId="4D028273" w14:textId="77777777" w:rsidR="007B55A7" w:rsidRDefault="007B55A7">
      <w:pPr>
        <w:pStyle w:val="PR1"/>
      </w:pPr>
      <w:r>
        <w:t>Accessories:</w:t>
      </w:r>
    </w:p>
    <w:p w14:paraId="745355D5" w14:textId="67D19DC8" w:rsidR="007B55A7" w:rsidRDefault="007B55A7">
      <w:pPr>
        <w:pStyle w:val="PR2"/>
        <w:contextualSpacing w:val="0"/>
      </w:pPr>
      <w:r>
        <w:t xml:space="preserve">Joint Sealant: Comply with ASTM </w:t>
      </w:r>
      <w:r>
        <w:rPr>
          <w:rStyle w:val="IP"/>
        </w:rPr>
        <w:t>C990</w:t>
      </w:r>
      <w:r>
        <w:t>.</w:t>
      </w:r>
    </w:p>
    <w:p w14:paraId="3C10C756" w14:textId="77777777" w:rsidR="007B55A7" w:rsidRDefault="007B55A7" w:rsidP="007B55A7">
      <w:pPr>
        <w:pStyle w:val="PR2"/>
        <w:spacing w:before="0"/>
        <w:contextualSpacing w:val="0"/>
      </w:pPr>
      <w:r>
        <w:t>Bolts: [</w:t>
      </w:r>
      <w:r w:rsidRPr="008740B5">
        <w:rPr>
          <w:b/>
        </w:rPr>
        <w:t>Stainless steel; ASTM F593</w:t>
      </w:r>
      <w:r>
        <w:t>] [</w:t>
      </w:r>
      <w:r w:rsidRPr="008740B5">
        <w:rPr>
          <w:b/>
        </w:rPr>
        <w:t>Galvanized steel; ASTM F1554</w:t>
      </w:r>
      <w:r>
        <w:t>].</w:t>
      </w:r>
    </w:p>
    <w:p w14:paraId="6ABC0AED" w14:textId="77777777" w:rsidR="007B55A7" w:rsidRDefault="007B55A7" w:rsidP="007B55A7">
      <w:pPr>
        <w:pStyle w:val="PR2"/>
        <w:spacing w:before="0"/>
        <w:contextualSpacing w:val="0"/>
      </w:pPr>
      <w:r>
        <w:t>Epoxy Mortar Mix for channel and bench repair:</w:t>
      </w:r>
    </w:p>
    <w:p w14:paraId="4AFC1A63" w14:textId="77777777" w:rsidR="007B55A7" w:rsidRDefault="007B55A7" w:rsidP="00D243A2">
      <w:pPr>
        <w:pStyle w:val="PR3"/>
        <w:contextualSpacing w:val="0"/>
      </w:pPr>
      <w:r w:rsidRPr="00121447">
        <w:t>Two component, 100 percent solids.</w:t>
      </w:r>
    </w:p>
    <w:p w14:paraId="448D1E35" w14:textId="77777777" w:rsidR="007B55A7" w:rsidRDefault="007B55A7" w:rsidP="007B55A7">
      <w:pPr>
        <w:pStyle w:val="PR3"/>
        <w:spacing w:before="0"/>
        <w:contextualSpacing w:val="0"/>
      </w:pPr>
      <w:r w:rsidRPr="00121447">
        <w:t>Non-shrink.</w:t>
      </w:r>
    </w:p>
    <w:p w14:paraId="74CCB3B6" w14:textId="77777777" w:rsidR="007B55A7" w:rsidRDefault="007B55A7" w:rsidP="007B55A7">
      <w:pPr>
        <w:pStyle w:val="PR3"/>
        <w:spacing w:before="0"/>
        <w:contextualSpacing w:val="0"/>
      </w:pPr>
      <w:r>
        <w:t>Chemically resistant.</w:t>
      </w:r>
    </w:p>
    <w:p w14:paraId="6C1752DD" w14:textId="77777777" w:rsidR="007B55A7" w:rsidRDefault="007B55A7" w:rsidP="007B55A7">
      <w:pPr>
        <w:pStyle w:val="PR3"/>
        <w:spacing w:before="0"/>
        <w:contextualSpacing w:val="0"/>
      </w:pPr>
      <w:r>
        <w:t>Moisture insensitive.</w:t>
      </w:r>
    </w:p>
    <w:p w14:paraId="04A21DA4" w14:textId="77777777" w:rsidR="007B55A7" w:rsidRDefault="007B55A7">
      <w:pPr>
        <w:pStyle w:val="PRT"/>
      </w:pPr>
      <w:r>
        <w:t>EXECUTION</w:t>
      </w:r>
    </w:p>
    <w:p w14:paraId="5A57C6C3" w14:textId="77777777" w:rsidR="007B55A7" w:rsidRDefault="007B55A7">
      <w:pPr>
        <w:pStyle w:val="ART"/>
      </w:pPr>
      <w:r>
        <w:t>EXAMINATION</w:t>
      </w:r>
    </w:p>
    <w:p w14:paraId="2FB7F36D" w14:textId="77777777" w:rsidR="007B55A7" w:rsidRDefault="007B55A7">
      <w:pPr>
        <w:pStyle w:val="PR1"/>
      </w:pPr>
      <w:r>
        <w:t>Verify and locate manholes requiring grade adjustment.</w:t>
      </w:r>
    </w:p>
    <w:p w14:paraId="1A1FAE98" w14:textId="77777777" w:rsidR="007B55A7" w:rsidRDefault="007B55A7">
      <w:pPr>
        <w:pStyle w:val="ART"/>
      </w:pPr>
      <w:r>
        <w:t>INSTALLATION</w:t>
      </w:r>
    </w:p>
    <w:p w14:paraId="6E0E520D" w14:textId="0476C21A" w:rsidR="007B55A7" w:rsidRDefault="007B55A7" w:rsidP="00D243A2">
      <w:pPr>
        <w:pStyle w:val="PR1"/>
      </w:pPr>
      <w:r>
        <w:t>Raising Manhole Frames and Covers:</w:t>
      </w:r>
    </w:p>
    <w:p w14:paraId="4EDA3E4C" w14:textId="77777777" w:rsidR="007B55A7" w:rsidRDefault="007B55A7" w:rsidP="00D243A2">
      <w:pPr>
        <w:pStyle w:val="PR2"/>
        <w:contextualSpacing w:val="0"/>
      </w:pPr>
      <w:r>
        <w:t>Use sealant to seal joints between manhole top, rubber rings, and frame.</w:t>
      </w:r>
    </w:p>
    <w:p w14:paraId="2594BBE2" w14:textId="77777777" w:rsidR="007B55A7" w:rsidRDefault="007B55A7" w:rsidP="007B55A7">
      <w:pPr>
        <w:pStyle w:val="PR2"/>
        <w:spacing w:before="0"/>
        <w:contextualSpacing w:val="0"/>
      </w:pPr>
      <w:r>
        <w:t>Reinstall removed manhole frame and cover.</w:t>
      </w:r>
    </w:p>
    <w:p w14:paraId="55F89183" w14:textId="77777777" w:rsidR="007B55A7" w:rsidRDefault="007B55A7">
      <w:pPr>
        <w:pStyle w:val="PR1"/>
      </w:pPr>
      <w:r>
        <w:t>Replacing Manhole Frames and Covers:</w:t>
      </w:r>
    </w:p>
    <w:p w14:paraId="3BF32236" w14:textId="1312E752" w:rsidR="007B55A7" w:rsidRDefault="007B55A7">
      <w:pPr>
        <w:pStyle w:val="PR2"/>
        <w:contextualSpacing w:val="0"/>
      </w:pPr>
      <w:r>
        <w:t>Locate manholes for replacement of frames and covers as indicated [</w:t>
      </w:r>
      <w:r w:rsidRPr="008740B5">
        <w:rPr>
          <w:b/>
        </w:rPr>
        <w:t>on Drawings</w:t>
      </w:r>
      <w:r>
        <w:t>].</w:t>
      </w:r>
    </w:p>
    <w:p w14:paraId="7974405D" w14:textId="77777777" w:rsidR="007B55A7" w:rsidRDefault="007B55A7" w:rsidP="007B55A7">
      <w:pPr>
        <w:pStyle w:val="PR2"/>
        <w:spacing w:before="0"/>
        <w:contextualSpacing w:val="0"/>
      </w:pPr>
      <w:r>
        <w:t>Remove existing manhole frames and covers to enable reuse.</w:t>
      </w:r>
    </w:p>
    <w:p w14:paraId="7BD62C50" w14:textId="6FE1CCF5" w:rsidR="007B55A7" w:rsidRDefault="007B55A7" w:rsidP="007B55A7">
      <w:pPr>
        <w:pStyle w:val="PR2"/>
        <w:spacing w:before="0"/>
        <w:contextualSpacing w:val="0"/>
      </w:pPr>
      <w:r>
        <w:t xml:space="preserve">Deliver removed manhole frames and covers to </w:t>
      </w:r>
      <w:r w:rsidRPr="00C93E35">
        <w:t>Director’s Representative</w:t>
      </w:r>
      <w:r>
        <w:t>, as indicated.</w:t>
      </w:r>
      <w:r w:rsidRPr="00C93E35">
        <w:t xml:space="preserve"> </w:t>
      </w:r>
    </w:p>
    <w:p w14:paraId="626EF511" w14:textId="7FB756B3" w:rsidR="007B55A7" w:rsidRDefault="007B55A7" w:rsidP="007B55A7">
      <w:pPr>
        <w:pStyle w:val="PR2"/>
        <w:spacing w:before="0"/>
        <w:contextualSpacing w:val="0"/>
      </w:pPr>
      <w:r>
        <w:t>Install new frames and covers for manholes as indicated [</w:t>
      </w:r>
      <w:r w:rsidRPr="008740B5">
        <w:rPr>
          <w:b/>
        </w:rPr>
        <w:t>on Drawings</w:t>
      </w:r>
      <w:r>
        <w:t>].</w:t>
      </w:r>
    </w:p>
    <w:p w14:paraId="55BC7EB1" w14:textId="395A6BC3" w:rsidR="007B55A7" w:rsidRDefault="007B55A7" w:rsidP="007B55A7">
      <w:pPr>
        <w:pStyle w:val="PR2"/>
        <w:spacing w:before="0"/>
        <w:contextualSpacing w:val="0"/>
      </w:pPr>
      <w:r>
        <w:t>Adjust new frames and covers to match finished grade as indicated [</w:t>
      </w:r>
      <w:r w:rsidRPr="008740B5">
        <w:rPr>
          <w:b/>
        </w:rPr>
        <w:t>on Drawings</w:t>
      </w:r>
      <w:r>
        <w:t>]. Coordinate final grades with the Director’s Representative.</w:t>
      </w:r>
    </w:p>
    <w:p w14:paraId="3B552D42" w14:textId="77777777" w:rsidR="007B55A7" w:rsidRDefault="007B55A7" w:rsidP="007B55A7">
      <w:pPr>
        <w:pStyle w:val="PR2"/>
        <w:spacing w:before="0"/>
        <w:contextualSpacing w:val="0"/>
      </w:pPr>
      <w:r>
        <w:t>Seal joints between manholes and manhole frames.</w:t>
      </w:r>
    </w:p>
    <w:p w14:paraId="138A5A80" w14:textId="7591679A" w:rsidR="007B55A7" w:rsidRDefault="007B55A7">
      <w:pPr>
        <w:pStyle w:val="EOS"/>
      </w:pPr>
      <w:r>
        <w:t>END OF SECTION 330130.86</w:t>
      </w:r>
    </w:p>
    <w:sectPr w:rsidR="007B55A7" w:rsidSect="00885A57">
      <w:footerReference w:type="default" r:id="rId1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7F804DBD"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370E0C">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7B55A7">
      <w:rPr>
        <w:rFonts w:eastAsia="Calibri"/>
        <w:szCs w:val="22"/>
      </w:rPr>
      <w:t>330130.86</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70E0C"/>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7B55A7"/>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243A2"/>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7B55A7"/>
    <w:pPr>
      <w:spacing w:before="240"/>
      <w:jc w:val="center"/>
    </w:pPr>
    <w:rPr>
      <w:color w:val="0000FF"/>
    </w:rPr>
  </w:style>
  <w:style w:type="character" w:customStyle="1" w:styleId="PR2Char">
    <w:name w:val="PR2 Char"/>
    <w:link w:val="PR2"/>
    <w:rsid w:val="007B55A7"/>
    <w:rPr>
      <w:sz w:val="22"/>
    </w:rPr>
  </w:style>
  <w:style w:type="character" w:customStyle="1" w:styleId="STEditORChar">
    <w:name w:val="STEdit[OR] Char"/>
    <w:link w:val="STEditOR"/>
    <w:rsid w:val="007B55A7"/>
    <w:rPr>
      <w:color w:val="0000FF"/>
      <w:sz w:val="22"/>
    </w:rPr>
  </w:style>
  <w:style w:type="character" w:styleId="CommentReference">
    <w:name w:val="annotation reference"/>
    <w:uiPriority w:val="99"/>
    <w:semiHidden/>
    <w:unhideWhenUsed/>
    <w:rsid w:val="007B55A7"/>
    <w:rPr>
      <w:sz w:val="16"/>
      <w:szCs w:val="16"/>
    </w:rPr>
  </w:style>
  <w:style w:type="paragraph" w:styleId="CommentText">
    <w:name w:val="annotation text"/>
    <w:basedOn w:val="Normal"/>
    <w:link w:val="CommentTextChar"/>
    <w:uiPriority w:val="99"/>
    <w:semiHidden/>
    <w:unhideWhenUsed/>
    <w:rsid w:val="007B55A7"/>
    <w:rPr>
      <w:sz w:val="20"/>
    </w:rPr>
  </w:style>
  <w:style w:type="character" w:customStyle="1" w:styleId="CommentTextChar">
    <w:name w:val="Comment Text Char"/>
    <w:basedOn w:val="DefaultParagraphFont"/>
    <w:link w:val="CommentText"/>
    <w:uiPriority w:val="99"/>
    <w:semiHidden/>
    <w:rsid w:val="007B55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13267&amp;mf=04&amp;src=wd"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2</Pages>
  <Words>716</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4789</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39</cp:revision>
  <cp:lastPrinted>2020-10-05T11:54:00Z</cp:lastPrinted>
  <dcterms:created xsi:type="dcterms:W3CDTF">2023-04-28T20:15:00Z</dcterms:created>
  <dcterms:modified xsi:type="dcterms:W3CDTF">2024-07-11T20:38:00Z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